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8B6FC4" w14:textId="77777777" w:rsidR="00D64E6C" w:rsidRPr="00D64E6C" w:rsidRDefault="00D64E6C" w:rsidP="00DA6C68">
      <w:pPr>
        <w:spacing w:before="100" w:beforeAutospacing="1" w:after="100" w:afterAutospacing="1" w:line="240" w:lineRule="auto"/>
        <w:jc w:val="center"/>
        <w:outlineLvl w:val="1"/>
        <w:rPr>
          <w:rFonts w:ascii="Times New Roman" w:eastAsia="Times New Roman" w:hAnsi="Times New Roman" w:cs="Times New Roman"/>
          <w:b/>
          <w:bCs/>
          <w:kern w:val="0"/>
          <w:sz w:val="28"/>
          <w:szCs w:val="28"/>
          <w14:ligatures w14:val="none"/>
        </w:rPr>
      </w:pPr>
      <w:r w:rsidRPr="00D64E6C">
        <w:rPr>
          <w:rFonts w:ascii="Times New Roman" w:eastAsia="Times New Roman" w:hAnsi="Times New Roman" w:cs="Times New Roman"/>
          <w:b/>
          <w:bCs/>
          <w:kern w:val="0"/>
          <w:sz w:val="28"/>
          <w:szCs w:val="28"/>
          <w14:ligatures w14:val="none"/>
        </w:rPr>
        <w:t>FOR IMMEDIATE RELEASE</w:t>
      </w:r>
    </w:p>
    <w:p w14:paraId="644B934F" w14:textId="6E7679E4" w:rsidR="00192554" w:rsidRPr="00192554" w:rsidRDefault="00192554" w:rsidP="00192554">
      <w:pPr>
        <w:spacing w:line="276" w:lineRule="auto"/>
        <w:rPr>
          <w:rFonts w:ascii="Times New Roman" w:hAnsi="Times New Roman" w:cs="Times New Roman"/>
          <w:b/>
          <w:bCs/>
          <w:sz w:val="24"/>
          <w:szCs w:val="24"/>
          <w:u w:val="single"/>
          <w:lang w:val="en-US"/>
        </w:rPr>
      </w:pPr>
      <w:r w:rsidRPr="00192554">
        <w:rPr>
          <w:rFonts w:ascii="Times New Roman" w:hAnsi="Times New Roman" w:cs="Times New Roman"/>
          <w:b/>
          <w:bCs/>
          <w:sz w:val="24"/>
          <w:szCs w:val="24"/>
          <w:u w:val="single"/>
          <w:lang w:val="en-US"/>
        </w:rPr>
        <w:t xml:space="preserve">TAF and TRBR Sign Memorandum of Understanding to </w:t>
      </w:r>
      <w:r w:rsidR="00462D22" w:rsidRPr="00462D22">
        <w:rPr>
          <w:rFonts w:ascii="Times New Roman" w:hAnsi="Times New Roman" w:cs="Times New Roman"/>
          <w:b/>
          <w:bCs/>
          <w:sz w:val="24"/>
          <w:szCs w:val="24"/>
          <w:u w:val="single"/>
        </w:rPr>
        <w:t>Strengthen Regional Regulatory Cooperation</w:t>
      </w:r>
    </w:p>
    <w:p w14:paraId="425F2720" w14:textId="77777777" w:rsidR="00192554" w:rsidRDefault="00DE2157" w:rsidP="00192554">
      <w:pPr>
        <w:spacing w:line="276" w:lineRule="auto"/>
        <w:rPr>
          <w:rFonts w:ascii="Times New Roman" w:hAnsi="Times New Roman" w:cs="Times New Roman"/>
          <w:b/>
          <w:bCs/>
          <w:sz w:val="24"/>
          <w:szCs w:val="24"/>
        </w:rPr>
      </w:pPr>
      <w:r w:rsidRPr="003A41E3">
        <w:rPr>
          <w:rFonts w:ascii="Times New Roman" w:hAnsi="Times New Roman" w:cs="Times New Roman"/>
          <w:b/>
          <w:bCs/>
          <w:sz w:val="24"/>
          <w:szCs w:val="24"/>
        </w:rPr>
        <w:t>Suva, Fiji – 2</w:t>
      </w:r>
      <w:r w:rsidR="00192554">
        <w:rPr>
          <w:rFonts w:ascii="Times New Roman" w:hAnsi="Times New Roman" w:cs="Times New Roman"/>
          <w:b/>
          <w:bCs/>
          <w:sz w:val="24"/>
          <w:szCs w:val="24"/>
        </w:rPr>
        <w:t>8</w:t>
      </w:r>
      <w:r w:rsidRPr="003A41E3">
        <w:rPr>
          <w:rFonts w:ascii="Times New Roman" w:hAnsi="Times New Roman" w:cs="Times New Roman"/>
          <w:b/>
          <w:bCs/>
          <w:sz w:val="24"/>
          <w:szCs w:val="24"/>
        </w:rPr>
        <w:t xml:space="preserve"> </w:t>
      </w:r>
      <w:r w:rsidR="00192554">
        <w:rPr>
          <w:rFonts w:ascii="Times New Roman" w:hAnsi="Times New Roman" w:cs="Times New Roman"/>
          <w:b/>
          <w:bCs/>
          <w:sz w:val="24"/>
          <w:szCs w:val="24"/>
        </w:rPr>
        <w:t>August</w:t>
      </w:r>
      <w:r w:rsidRPr="003A41E3">
        <w:rPr>
          <w:rFonts w:ascii="Times New Roman" w:hAnsi="Times New Roman" w:cs="Times New Roman"/>
          <w:b/>
          <w:bCs/>
          <w:sz w:val="24"/>
          <w:szCs w:val="24"/>
        </w:rPr>
        <w:t xml:space="preserve"> 202</w:t>
      </w:r>
      <w:r w:rsidR="00192554">
        <w:rPr>
          <w:rFonts w:ascii="Times New Roman" w:hAnsi="Times New Roman" w:cs="Times New Roman"/>
          <w:b/>
          <w:bCs/>
          <w:sz w:val="24"/>
          <w:szCs w:val="24"/>
        </w:rPr>
        <w:t>6</w:t>
      </w:r>
    </w:p>
    <w:p w14:paraId="15EA50C1" w14:textId="55833D9B" w:rsidR="00462D22" w:rsidRPr="007B5E11" w:rsidRDefault="00462D22" w:rsidP="00462D22">
      <w:pPr>
        <w:spacing w:line="278" w:lineRule="auto"/>
        <w:rPr>
          <w:rFonts w:ascii="Arial" w:hAnsi="Arial" w:cs="Arial"/>
        </w:rPr>
      </w:pPr>
      <w:r w:rsidRPr="007B5E11">
        <w:rPr>
          <w:rFonts w:ascii="Arial" w:hAnsi="Arial" w:cs="Arial"/>
        </w:rPr>
        <w:t xml:space="preserve">The Telecommunications Authority of Fiji (TAF) and Vanuatu's Telecommunications, Radiocommunications and Broadcasting Regulator (TRBR) today signed a Memorandum of Understanding (MOU), </w:t>
      </w:r>
      <w:r w:rsidRPr="00462D22">
        <w:rPr>
          <w:rFonts w:ascii="Arial" w:hAnsi="Arial" w:cs="Arial"/>
        </w:rPr>
        <w:t>establishing a framework for closer cooperation between the two Pacific regulatory authoritie</w:t>
      </w:r>
      <w:r>
        <w:rPr>
          <w:rFonts w:ascii="Arial" w:hAnsi="Arial" w:cs="Arial"/>
        </w:rPr>
        <w:t>s</w:t>
      </w:r>
      <w:r w:rsidRPr="007B5E11">
        <w:rPr>
          <w:rFonts w:ascii="Arial" w:hAnsi="Arial" w:cs="Arial"/>
        </w:rPr>
        <w:t>.</w:t>
      </w:r>
    </w:p>
    <w:p w14:paraId="5928BFD9" w14:textId="3B0F7D21" w:rsidR="00462D22" w:rsidRPr="007B5E11" w:rsidRDefault="00462D22" w:rsidP="00462D22">
      <w:pPr>
        <w:spacing w:line="278" w:lineRule="auto"/>
        <w:rPr>
          <w:rFonts w:ascii="Arial" w:hAnsi="Arial" w:cs="Arial"/>
        </w:rPr>
      </w:pPr>
      <w:r w:rsidRPr="007B5E11">
        <w:rPr>
          <w:rFonts w:ascii="Arial" w:hAnsi="Arial" w:cs="Arial"/>
        </w:rPr>
        <w:t>The MOU was signed at the TAF office in Suva by TAF Chair</w:t>
      </w:r>
      <w:r w:rsidR="00511380">
        <w:rPr>
          <w:rFonts w:ascii="Arial" w:hAnsi="Arial" w:cs="Arial"/>
        </w:rPr>
        <w:t>person</w:t>
      </w:r>
      <w:r w:rsidRPr="007B5E11">
        <w:rPr>
          <w:rFonts w:ascii="Arial" w:hAnsi="Arial" w:cs="Arial"/>
        </w:rPr>
        <w:t xml:space="preserve"> </w:t>
      </w:r>
      <w:r w:rsidRPr="007B5E11">
        <w:rPr>
          <w:rFonts w:ascii="Arial" w:hAnsi="Arial" w:cs="Arial"/>
          <w:b/>
          <w:bCs/>
        </w:rPr>
        <w:t>Mr David Eyre</w:t>
      </w:r>
      <w:r w:rsidRPr="007B5E11">
        <w:rPr>
          <w:rFonts w:ascii="Arial" w:hAnsi="Arial" w:cs="Arial"/>
        </w:rPr>
        <w:t xml:space="preserve"> and TRBR Regulator </w:t>
      </w:r>
      <w:r w:rsidRPr="007B5E11">
        <w:rPr>
          <w:rFonts w:ascii="Arial" w:hAnsi="Arial" w:cs="Arial"/>
          <w:b/>
          <w:bCs/>
        </w:rPr>
        <w:t>Mr Jesse Benjamin</w:t>
      </w:r>
      <w:r w:rsidRPr="007B5E11">
        <w:rPr>
          <w:rFonts w:ascii="Arial" w:hAnsi="Arial" w:cs="Arial"/>
        </w:rPr>
        <w:t>.</w:t>
      </w:r>
    </w:p>
    <w:p w14:paraId="0B54C978" w14:textId="77777777" w:rsidR="00462D22" w:rsidRPr="007B5E11" w:rsidRDefault="00462D22" w:rsidP="00462D22">
      <w:pPr>
        <w:spacing w:line="278" w:lineRule="auto"/>
        <w:rPr>
          <w:rFonts w:ascii="Arial" w:hAnsi="Arial" w:cs="Arial"/>
        </w:rPr>
      </w:pPr>
      <w:r w:rsidRPr="007B5E11">
        <w:rPr>
          <w:rFonts w:ascii="Arial" w:hAnsi="Arial" w:cs="Arial"/>
        </w:rPr>
        <w:t>The agreement provides a practical framework for TAF and TRBR to share regulatory knowledge and experience, strengthen institutional capability and collaborate on telecommunications and digital development issues of common interest.</w:t>
      </w:r>
    </w:p>
    <w:p w14:paraId="4EC1A7B5" w14:textId="77777777" w:rsidR="00462D22" w:rsidRPr="007B5E11" w:rsidRDefault="00462D22" w:rsidP="00462D22">
      <w:pPr>
        <w:spacing w:line="278" w:lineRule="auto"/>
        <w:rPr>
          <w:rFonts w:ascii="Arial" w:hAnsi="Arial" w:cs="Arial"/>
        </w:rPr>
      </w:pPr>
      <w:r w:rsidRPr="007B5E11">
        <w:rPr>
          <w:rFonts w:ascii="Arial" w:hAnsi="Arial" w:cs="Arial"/>
        </w:rPr>
        <w:t>Under the MOU, the two regulators will cooperate in areas including:</w:t>
      </w:r>
    </w:p>
    <w:p w14:paraId="764B9D8C" w14:textId="77777777" w:rsidR="00462D22" w:rsidRPr="007B5E11" w:rsidRDefault="00462D22" w:rsidP="00462D22">
      <w:pPr>
        <w:numPr>
          <w:ilvl w:val="0"/>
          <w:numId w:val="8"/>
        </w:numPr>
        <w:spacing w:line="278" w:lineRule="auto"/>
        <w:rPr>
          <w:rFonts w:ascii="Arial" w:hAnsi="Arial" w:cs="Arial"/>
        </w:rPr>
      </w:pPr>
      <w:r w:rsidRPr="007B5E11">
        <w:rPr>
          <w:rFonts w:ascii="Arial" w:hAnsi="Arial" w:cs="Arial"/>
        </w:rPr>
        <w:t>exchange of regulatory expertise and training resources;</w:t>
      </w:r>
    </w:p>
    <w:p w14:paraId="4DE7F90C" w14:textId="77777777" w:rsidR="00462D22" w:rsidRPr="007B5E11" w:rsidRDefault="00462D22" w:rsidP="00462D22">
      <w:pPr>
        <w:numPr>
          <w:ilvl w:val="0"/>
          <w:numId w:val="8"/>
        </w:numPr>
        <w:spacing w:line="278" w:lineRule="auto"/>
        <w:rPr>
          <w:rFonts w:ascii="Arial" w:hAnsi="Arial" w:cs="Arial"/>
        </w:rPr>
      </w:pPr>
      <w:r w:rsidRPr="007B5E11">
        <w:rPr>
          <w:rFonts w:ascii="Arial" w:hAnsi="Arial" w:cs="Arial"/>
        </w:rPr>
        <w:t>staff attachments and joint training initiatives;</w:t>
      </w:r>
    </w:p>
    <w:p w14:paraId="574A1E7F" w14:textId="77777777" w:rsidR="00462D22" w:rsidRPr="007B5E11" w:rsidRDefault="00462D22" w:rsidP="00462D22">
      <w:pPr>
        <w:numPr>
          <w:ilvl w:val="0"/>
          <w:numId w:val="8"/>
        </w:numPr>
        <w:spacing w:line="278" w:lineRule="auto"/>
        <w:rPr>
          <w:rFonts w:ascii="Arial" w:hAnsi="Arial" w:cs="Arial"/>
        </w:rPr>
      </w:pPr>
      <w:r w:rsidRPr="007B5E11">
        <w:rPr>
          <w:rFonts w:ascii="Arial" w:hAnsi="Arial" w:cs="Arial"/>
        </w:rPr>
        <w:t>sharing of regulatory approaches and policies;</w:t>
      </w:r>
    </w:p>
    <w:p w14:paraId="5180BF82" w14:textId="32DEE3E5" w:rsidR="00462D22" w:rsidRPr="007B5E11" w:rsidRDefault="00462D22" w:rsidP="00462D22">
      <w:pPr>
        <w:numPr>
          <w:ilvl w:val="0"/>
          <w:numId w:val="8"/>
        </w:numPr>
        <w:spacing w:line="278" w:lineRule="auto"/>
        <w:rPr>
          <w:rFonts w:ascii="Arial" w:hAnsi="Arial" w:cs="Arial"/>
        </w:rPr>
      </w:pPr>
      <w:r w:rsidRPr="007B5E11">
        <w:rPr>
          <w:rFonts w:ascii="Arial" w:hAnsi="Arial" w:cs="Arial"/>
        </w:rPr>
        <w:t>technical standards, spectrum management, and regulatory methodologies;</w:t>
      </w:r>
    </w:p>
    <w:p w14:paraId="533FC21B" w14:textId="77777777" w:rsidR="00462D22" w:rsidRPr="007B5E11" w:rsidRDefault="00462D22" w:rsidP="00462D22">
      <w:pPr>
        <w:numPr>
          <w:ilvl w:val="0"/>
          <w:numId w:val="8"/>
        </w:numPr>
        <w:spacing w:line="278" w:lineRule="auto"/>
        <w:rPr>
          <w:rFonts w:ascii="Arial" w:hAnsi="Arial" w:cs="Arial"/>
        </w:rPr>
      </w:pPr>
      <w:r w:rsidRPr="007B5E11">
        <w:rPr>
          <w:rFonts w:ascii="Arial" w:hAnsi="Arial" w:cs="Arial"/>
        </w:rPr>
        <w:t>joint projects and studies on telecommunications and digital development; and</w:t>
      </w:r>
    </w:p>
    <w:p w14:paraId="50066484" w14:textId="77777777" w:rsidR="00462D22" w:rsidRPr="007B5E11" w:rsidRDefault="00462D22" w:rsidP="00462D22">
      <w:pPr>
        <w:numPr>
          <w:ilvl w:val="0"/>
          <w:numId w:val="8"/>
        </w:numPr>
        <w:spacing w:line="278" w:lineRule="auto"/>
        <w:rPr>
          <w:rFonts w:ascii="Arial" w:hAnsi="Arial" w:cs="Arial"/>
        </w:rPr>
      </w:pPr>
      <w:r w:rsidRPr="007B5E11">
        <w:rPr>
          <w:rFonts w:ascii="Arial" w:hAnsi="Arial" w:cs="Arial"/>
        </w:rPr>
        <w:t>coordination on matters of common regional interest, including representation of Pacific digital priorities in regional and international forums.</w:t>
      </w:r>
    </w:p>
    <w:p w14:paraId="204B0C93" w14:textId="6257CCAF" w:rsidR="00462D22" w:rsidRPr="007B5E11" w:rsidRDefault="00462D22" w:rsidP="00462D22">
      <w:pPr>
        <w:spacing w:line="278" w:lineRule="auto"/>
        <w:rPr>
          <w:rFonts w:ascii="Arial" w:hAnsi="Arial" w:cs="Arial"/>
        </w:rPr>
      </w:pPr>
      <w:r w:rsidRPr="007B5E11">
        <w:rPr>
          <w:rFonts w:ascii="Arial" w:hAnsi="Arial" w:cs="Arial"/>
        </w:rPr>
        <w:t xml:space="preserve">The </w:t>
      </w:r>
      <w:r w:rsidR="00BD7927" w:rsidRPr="00BD7927">
        <w:rPr>
          <w:rFonts w:ascii="Arial" w:hAnsi="Arial" w:cs="Arial"/>
        </w:rPr>
        <w:t xml:space="preserve">MOU supports Fiji's national development and digital transformation priorities under the National Development Plan 2025–2029 and Vision 2050 and the National Digital Strategy 2025–2030. At the regional level, it complements the 2050 Strategy for the Blue Pacific Continent and the </w:t>
      </w:r>
      <w:proofErr w:type="spellStart"/>
      <w:r w:rsidR="00BD7927" w:rsidRPr="00BD7927">
        <w:rPr>
          <w:rFonts w:ascii="Arial" w:hAnsi="Arial" w:cs="Arial"/>
        </w:rPr>
        <w:t>Lagatoi</w:t>
      </w:r>
      <w:proofErr w:type="spellEnd"/>
      <w:r w:rsidR="00BD7927" w:rsidRPr="00BD7927">
        <w:rPr>
          <w:rFonts w:ascii="Arial" w:hAnsi="Arial" w:cs="Arial"/>
        </w:rPr>
        <w:t xml:space="preserve"> Declaration on Digital Transformation of the Pacific, including their emphasis on digital connectivity, capacity building, skills development and stronger regional cooperation</w:t>
      </w:r>
      <w:r w:rsidRPr="007B5E11">
        <w:rPr>
          <w:rFonts w:ascii="Arial" w:hAnsi="Arial" w:cs="Arial"/>
        </w:rPr>
        <w:t>.</w:t>
      </w:r>
    </w:p>
    <w:p w14:paraId="7A2E171A" w14:textId="13CE7230" w:rsidR="00462D22" w:rsidRPr="007B5E11" w:rsidRDefault="00462D22" w:rsidP="00462D22">
      <w:pPr>
        <w:spacing w:line="278" w:lineRule="auto"/>
        <w:rPr>
          <w:rFonts w:ascii="Arial" w:hAnsi="Arial" w:cs="Arial"/>
        </w:rPr>
      </w:pPr>
      <w:r w:rsidRPr="007B5E11">
        <w:rPr>
          <w:rFonts w:ascii="Arial" w:hAnsi="Arial" w:cs="Arial"/>
        </w:rPr>
        <w:t>TAF Chair</w:t>
      </w:r>
      <w:r w:rsidR="00511380">
        <w:rPr>
          <w:rFonts w:ascii="Arial" w:hAnsi="Arial" w:cs="Arial"/>
        </w:rPr>
        <w:t>person</w:t>
      </w:r>
      <w:r w:rsidRPr="007B5E11">
        <w:rPr>
          <w:rFonts w:ascii="Arial" w:hAnsi="Arial" w:cs="Arial"/>
        </w:rPr>
        <w:t xml:space="preserve"> Mr David Eyre said the agreement recognises the increasing value of cooperation between Pacific regulators as technologies</w:t>
      </w:r>
      <w:r w:rsidR="00C623C7">
        <w:rPr>
          <w:rFonts w:ascii="Arial" w:hAnsi="Arial" w:cs="Arial"/>
        </w:rPr>
        <w:t>, services</w:t>
      </w:r>
      <w:r w:rsidRPr="007B5E11">
        <w:rPr>
          <w:rFonts w:ascii="Arial" w:hAnsi="Arial" w:cs="Arial"/>
        </w:rPr>
        <w:t xml:space="preserve"> and markets continue to evolve.</w:t>
      </w:r>
    </w:p>
    <w:p w14:paraId="55392705" w14:textId="473A3858" w:rsidR="00462D22" w:rsidRPr="007B5E11" w:rsidRDefault="00462D22" w:rsidP="00462D22">
      <w:pPr>
        <w:spacing w:line="278" w:lineRule="auto"/>
        <w:rPr>
          <w:rFonts w:ascii="Arial" w:hAnsi="Arial" w:cs="Arial"/>
        </w:rPr>
      </w:pPr>
      <w:r w:rsidRPr="007B5E11">
        <w:rPr>
          <w:rFonts w:ascii="Arial" w:hAnsi="Arial" w:cs="Arial"/>
        </w:rPr>
        <w:t xml:space="preserve">“Pacific regulators face many common challenges, while operating within relatively small and geographically dispersed markets. </w:t>
      </w:r>
      <w:r w:rsidR="00CC7978" w:rsidRPr="00CC7978">
        <w:rPr>
          <w:rFonts w:ascii="Arial" w:hAnsi="Arial" w:cs="Arial"/>
        </w:rPr>
        <w:t>There is considerable value in sharing our experience, technical knowledge and regulatory approaches, and learning from each other as we respond to emerging issues in our respective markets</w:t>
      </w:r>
      <w:r w:rsidRPr="007B5E11">
        <w:rPr>
          <w:rFonts w:ascii="Arial" w:hAnsi="Arial" w:cs="Arial"/>
        </w:rPr>
        <w:t>.”</w:t>
      </w:r>
    </w:p>
    <w:p w14:paraId="0C9ADE49" w14:textId="77777777" w:rsidR="00462D22" w:rsidRPr="007B5E11" w:rsidRDefault="00462D22" w:rsidP="00462D22">
      <w:pPr>
        <w:spacing w:line="278" w:lineRule="auto"/>
        <w:rPr>
          <w:rFonts w:ascii="Arial" w:hAnsi="Arial" w:cs="Arial"/>
        </w:rPr>
      </w:pPr>
      <w:r w:rsidRPr="007B5E11">
        <w:rPr>
          <w:rFonts w:ascii="Arial" w:hAnsi="Arial" w:cs="Arial"/>
        </w:rPr>
        <w:lastRenderedPageBreak/>
        <w:t>Mr Eyre said the partnership would also provide practical opportunities to strengthen institutional capability.</w:t>
      </w:r>
    </w:p>
    <w:p w14:paraId="2C4E467A" w14:textId="7B395308" w:rsidR="00462D22" w:rsidRPr="007B5E11" w:rsidRDefault="00462D22" w:rsidP="00462D22">
      <w:pPr>
        <w:spacing w:line="278" w:lineRule="auto"/>
        <w:rPr>
          <w:rFonts w:ascii="Arial" w:hAnsi="Arial" w:cs="Arial"/>
        </w:rPr>
      </w:pPr>
      <w:r w:rsidRPr="007B5E11">
        <w:rPr>
          <w:rFonts w:ascii="Arial" w:hAnsi="Arial" w:cs="Arial"/>
        </w:rPr>
        <w:t xml:space="preserve">“This MOU creates a pathway for our respective teams to learn from each other through training, staff attachments, technical exchanges and collaboration on areas of mutual interest. </w:t>
      </w:r>
      <w:r w:rsidRPr="00462D22">
        <w:rPr>
          <w:rFonts w:ascii="Arial" w:hAnsi="Arial" w:cs="Arial"/>
        </w:rPr>
        <w:t>Ultimately, stronger regulatory institutions contribute to better outcomes for the sectors we regulate and the communities we serve.</w:t>
      </w:r>
      <w:r>
        <w:rPr>
          <w:rFonts w:ascii="Arial" w:hAnsi="Arial" w:cs="Arial"/>
        </w:rPr>
        <w:t>”</w:t>
      </w:r>
    </w:p>
    <w:p w14:paraId="51F27363" w14:textId="3E396EAC" w:rsidR="00462D22" w:rsidRPr="007B5E11" w:rsidRDefault="00CC7978" w:rsidP="00462D22">
      <w:pPr>
        <w:spacing w:line="278" w:lineRule="auto"/>
        <w:rPr>
          <w:rFonts w:ascii="Arial" w:hAnsi="Arial" w:cs="Arial"/>
        </w:rPr>
      </w:pPr>
      <w:r w:rsidRPr="00CC7978">
        <w:rPr>
          <w:rFonts w:ascii="Arial" w:hAnsi="Arial" w:cs="Arial"/>
        </w:rPr>
        <w:t>The agreement also provides a framework for TAF and TRBR to exchange experiences on emerging regulatory and technological developments and, where appropriate, explore greater alignment of regulatory approaches in areas of common interest</w:t>
      </w:r>
      <w:r w:rsidR="00462D22" w:rsidRPr="007B5E11">
        <w:rPr>
          <w:rFonts w:ascii="Arial" w:hAnsi="Arial" w:cs="Arial"/>
        </w:rPr>
        <w:t>.</w:t>
      </w:r>
    </w:p>
    <w:p w14:paraId="5D41783A" w14:textId="77777777" w:rsidR="00462D22" w:rsidRPr="007B5E11" w:rsidRDefault="00462D22" w:rsidP="00462D22">
      <w:pPr>
        <w:spacing w:line="278" w:lineRule="auto"/>
        <w:rPr>
          <w:rFonts w:ascii="Arial" w:hAnsi="Arial" w:cs="Arial"/>
        </w:rPr>
      </w:pPr>
      <w:r>
        <w:rPr>
          <w:rFonts w:ascii="Arial" w:hAnsi="Arial" w:cs="Arial"/>
        </w:rPr>
        <w:t>TRBR</w:t>
      </w:r>
      <w:r w:rsidRPr="007B5E11">
        <w:rPr>
          <w:rFonts w:ascii="Arial" w:hAnsi="Arial" w:cs="Arial"/>
        </w:rPr>
        <w:t xml:space="preserve"> </w:t>
      </w:r>
      <w:r>
        <w:rPr>
          <w:rFonts w:ascii="Arial" w:hAnsi="Arial" w:cs="Arial"/>
        </w:rPr>
        <w:t xml:space="preserve">Regulator </w:t>
      </w:r>
      <w:r w:rsidRPr="007B5E11">
        <w:rPr>
          <w:rFonts w:ascii="Arial" w:hAnsi="Arial" w:cs="Arial"/>
        </w:rPr>
        <w:t>Mr Jesse Benjamin said closer regulator-to-regulator cooperation was becoming increasingly important as new technologies and business models created issues that extended beyond individual national markets.</w:t>
      </w:r>
    </w:p>
    <w:p w14:paraId="33AE2C0D" w14:textId="7769207E" w:rsidR="00462D22" w:rsidRPr="001F5FF2" w:rsidRDefault="00462D22" w:rsidP="00462D22">
      <w:pPr>
        <w:spacing w:line="278" w:lineRule="auto"/>
        <w:rPr>
          <w:rFonts w:ascii="Arial" w:hAnsi="Arial" w:cs="Arial"/>
          <w:color w:val="000000" w:themeColor="text1"/>
        </w:rPr>
      </w:pPr>
      <w:r w:rsidRPr="001F5FF2">
        <w:rPr>
          <w:rFonts w:ascii="Arial" w:hAnsi="Arial" w:cs="Arial"/>
          <w:color w:val="000000" w:themeColor="text1"/>
        </w:rPr>
        <w:t>“</w:t>
      </w:r>
      <w:r w:rsidR="00CC7978" w:rsidRPr="001F5FF2">
        <w:rPr>
          <w:rFonts w:ascii="Arial" w:hAnsi="Arial" w:cs="Arial"/>
          <w:color w:val="000000" w:themeColor="text1"/>
        </w:rPr>
        <w:t>Developments in areas such as satellite connectivity, direct-to-device services and other emerging technologies are presenting new opportunities as well as regulatory considerations across the region. While each country must develop approaches appropriate to its own circumstances, market and laws, we can benefit significantly from sharing experience, technical expertise and lessons with our Pacific counterparts</w:t>
      </w:r>
      <w:r w:rsidRPr="001F5FF2">
        <w:rPr>
          <w:rFonts w:ascii="Arial" w:hAnsi="Arial" w:cs="Arial"/>
          <w:color w:val="000000" w:themeColor="text1"/>
        </w:rPr>
        <w:t>.”</w:t>
      </w:r>
    </w:p>
    <w:p w14:paraId="3BDCC68A" w14:textId="77777777" w:rsidR="00462D22" w:rsidRPr="007B5E11" w:rsidRDefault="00462D22" w:rsidP="00462D22">
      <w:pPr>
        <w:spacing w:line="278" w:lineRule="auto"/>
        <w:rPr>
          <w:rFonts w:ascii="Arial" w:hAnsi="Arial" w:cs="Arial"/>
        </w:rPr>
      </w:pPr>
      <w:r w:rsidRPr="007B5E11">
        <w:rPr>
          <w:rFonts w:ascii="Arial" w:hAnsi="Arial" w:cs="Arial"/>
        </w:rPr>
        <w:t>Mr Benjamin said the agreement would allow cooperation to move beyond informal exchanges between regulators towards more structured and practical collaboration.</w:t>
      </w:r>
    </w:p>
    <w:p w14:paraId="393AE048" w14:textId="75CA3571" w:rsidR="00CC7978" w:rsidRPr="001F5FF2" w:rsidRDefault="00462D22" w:rsidP="00462D22">
      <w:pPr>
        <w:spacing w:line="278" w:lineRule="auto"/>
        <w:rPr>
          <w:rFonts w:ascii="Arial" w:hAnsi="Arial" w:cs="Arial"/>
          <w:color w:val="000000" w:themeColor="text1"/>
        </w:rPr>
      </w:pPr>
      <w:r w:rsidRPr="001F5FF2">
        <w:rPr>
          <w:rFonts w:ascii="Arial" w:hAnsi="Arial" w:cs="Arial"/>
          <w:color w:val="000000" w:themeColor="text1"/>
        </w:rPr>
        <w:t xml:space="preserve">“The value of an MOU such as this will ultimately be measured by what we do with it. We want to see our officers working together, sharing expertise, undertaking attachments and training, and </w:t>
      </w:r>
      <w:r w:rsidR="00CC7978" w:rsidRPr="001F5FF2">
        <w:rPr>
          <w:rFonts w:ascii="Arial" w:hAnsi="Arial" w:cs="Arial"/>
          <w:color w:val="000000" w:themeColor="text1"/>
        </w:rPr>
        <w:t>collaborating on regulatory issues of common interest to Fiji and Vanuatu.”</w:t>
      </w:r>
    </w:p>
    <w:p w14:paraId="33C88D04" w14:textId="77777777" w:rsidR="00C623C7" w:rsidRPr="00C623C7" w:rsidRDefault="00C623C7" w:rsidP="00C623C7">
      <w:pPr>
        <w:spacing w:line="278" w:lineRule="auto"/>
        <w:rPr>
          <w:rFonts w:ascii="Arial" w:hAnsi="Arial" w:cs="Arial"/>
        </w:rPr>
      </w:pPr>
      <w:r w:rsidRPr="00C623C7">
        <w:rPr>
          <w:rFonts w:ascii="Arial" w:hAnsi="Arial" w:cs="Arial"/>
        </w:rPr>
        <w:t>The MOU also establishes governance and safeguards for information exchanged between the two regulators as part of their cooperation. By strengthening regulatory capability and sharing experience, the partnership is intended to support informed and effective regulation as technologies, services and market conditions continue to evolve in both countries.</w:t>
      </w:r>
    </w:p>
    <w:p w14:paraId="28432AE4" w14:textId="2B91D1CE" w:rsidR="00462D22" w:rsidRPr="00C623C7" w:rsidRDefault="00C623C7" w:rsidP="00462D22">
      <w:pPr>
        <w:spacing w:line="278" w:lineRule="auto"/>
        <w:rPr>
          <w:rFonts w:ascii="Arial" w:hAnsi="Arial" w:cs="Arial"/>
        </w:rPr>
      </w:pPr>
      <w:r w:rsidRPr="00C623C7">
        <w:rPr>
          <w:rFonts w:ascii="Arial" w:hAnsi="Arial" w:cs="Arial"/>
        </w:rPr>
        <w:t>The agreement reflects the broader commitment of TAF and TRBR to strengthening regional cooperation and contributing to a connected, resilient and secure digital Pacific</w:t>
      </w:r>
      <w:r w:rsidR="00462D22" w:rsidRPr="00C623C7">
        <w:rPr>
          <w:rFonts w:ascii="Arial" w:hAnsi="Arial" w:cs="Arial"/>
        </w:rPr>
        <w:t>.</w:t>
      </w:r>
    </w:p>
    <w:p w14:paraId="55B540DD" w14:textId="77777777" w:rsidR="00332A4F" w:rsidRDefault="00A76CE6" w:rsidP="006E135A">
      <w:pPr>
        <w:spacing w:before="100" w:beforeAutospacing="1" w:after="100" w:afterAutospacing="1" w:line="240" w:lineRule="auto"/>
        <w:rPr>
          <w:rFonts w:ascii="Times New Roman" w:eastAsia="Times New Roman" w:hAnsi="Times New Roman" w:cs="Times New Roman"/>
          <w:b/>
          <w:bCs/>
          <w:i/>
          <w:iCs/>
          <w:kern w:val="0"/>
          <w:sz w:val="24"/>
          <w:szCs w:val="24"/>
          <w14:ligatures w14:val="none"/>
        </w:rPr>
      </w:pPr>
      <w:r w:rsidRPr="00DA6C68">
        <w:rPr>
          <w:rFonts w:ascii="Times New Roman" w:eastAsia="Times New Roman" w:hAnsi="Times New Roman" w:cs="Times New Roman"/>
          <w:b/>
          <w:bCs/>
          <w:i/>
          <w:iCs/>
          <w:kern w:val="0"/>
          <w:sz w:val="24"/>
          <w:szCs w:val="24"/>
          <w14:ligatures w14:val="none"/>
        </w:rPr>
        <w:t xml:space="preserve">The End. </w:t>
      </w:r>
    </w:p>
    <w:p w14:paraId="2586507A" w14:textId="77777777" w:rsidR="00006176" w:rsidRPr="003E517F" w:rsidRDefault="00006176" w:rsidP="00ED221F">
      <w:pPr>
        <w:spacing w:before="100" w:beforeAutospacing="1" w:after="100" w:afterAutospacing="1" w:line="240" w:lineRule="auto"/>
        <w:jc w:val="both"/>
        <w:rPr>
          <w:rFonts w:ascii="Times New Roman" w:eastAsia="Times New Roman" w:hAnsi="Times New Roman" w:cs="Times New Roman"/>
          <w:i/>
          <w:iCs/>
          <w:kern w:val="0"/>
          <w:sz w:val="24"/>
          <w:szCs w:val="24"/>
          <w14:ligatures w14:val="none"/>
        </w:rPr>
      </w:pPr>
      <w:r w:rsidRPr="003E517F">
        <w:rPr>
          <w:rFonts w:ascii="Times New Roman" w:eastAsia="Times New Roman" w:hAnsi="Times New Roman" w:cs="Times New Roman"/>
          <w:b/>
          <w:bCs/>
          <w:i/>
          <w:iCs/>
          <w:kern w:val="0"/>
          <w:sz w:val="24"/>
          <w:szCs w:val="24"/>
          <w14:ligatures w14:val="none"/>
        </w:rPr>
        <w:t>About TAF:</w:t>
      </w:r>
      <w:r w:rsidRPr="003E517F">
        <w:rPr>
          <w:rFonts w:ascii="Times New Roman" w:eastAsia="Times New Roman" w:hAnsi="Times New Roman" w:cs="Times New Roman"/>
          <w:i/>
          <w:iCs/>
          <w:kern w:val="0"/>
          <w:sz w:val="24"/>
          <w:szCs w:val="24"/>
          <w14:ligatures w14:val="none"/>
        </w:rPr>
        <w:t xml:space="preserve"> The Telecommunications Authority of Fiji (TAF) is </w:t>
      </w:r>
      <w:r w:rsidR="00116E95" w:rsidRPr="003E517F">
        <w:rPr>
          <w:rFonts w:ascii="Times New Roman" w:eastAsia="Times New Roman" w:hAnsi="Times New Roman" w:cs="Times New Roman"/>
          <w:i/>
          <w:iCs/>
          <w:kern w:val="0"/>
          <w:sz w:val="24"/>
          <w:szCs w:val="24"/>
          <w14:ligatures w14:val="none"/>
        </w:rPr>
        <w:t>an</w:t>
      </w:r>
      <w:r w:rsidRPr="003E517F">
        <w:rPr>
          <w:rFonts w:ascii="Times New Roman" w:eastAsia="Times New Roman" w:hAnsi="Times New Roman" w:cs="Times New Roman"/>
          <w:i/>
          <w:iCs/>
          <w:kern w:val="0"/>
          <w:sz w:val="24"/>
          <w:szCs w:val="24"/>
          <w14:ligatures w14:val="none"/>
        </w:rPr>
        <w:t xml:space="preserve"> independent regulatory body responsible for overseeing Fiji’s telecommunications and ICT sectors. Established in 2008, TAF works to ensure a fair, competitive, and innovative environment by licensing operators, managing radio spectrum, protecting consumer rights, and promoting the development of modern, reliable communications infrastructure to support Fiji’s digital growth.</w:t>
      </w:r>
    </w:p>
    <w:p w14:paraId="2CCA2B44" w14:textId="77777777" w:rsidR="00006176" w:rsidRPr="003E517F" w:rsidRDefault="00006176" w:rsidP="00ED221F">
      <w:pPr>
        <w:spacing w:before="100" w:beforeAutospacing="1" w:after="100" w:afterAutospacing="1" w:line="276" w:lineRule="auto"/>
        <w:jc w:val="both"/>
        <w:rPr>
          <w:rFonts w:ascii="Times New Roman" w:eastAsia="Times New Roman" w:hAnsi="Times New Roman" w:cs="Times New Roman"/>
          <w:i/>
          <w:iCs/>
          <w:kern w:val="0"/>
          <w:sz w:val="24"/>
          <w:szCs w:val="24"/>
          <w14:ligatures w14:val="none"/>
        </w:rPr>
      </w:pPr>
      <w:r w:rsidRPr="003E517F">
        <w:rPr>
          <w:rFonts w:ascii="Times New Roman" w:eastAsia="Times New Roman" w:hAnsi="Times New Roman" w:cs="Times New Roman"/>
          <w:b/>
          <w:bCs/>
          <w:i/>
          <w:iCs/>
          <w:kern w:val="0"/>
          <w:sz w:val="24"/>
          <w:szCs w:val="24"/>
          <w14:ligatures w14:val="none"/>
        </w:rPr>
        <w:t xml:space="preserve">Contact Person: </w:t>
      </w:r>
      <w:r w:rsidRPr="003E517F">
        <w:rPr>
          <w:rFonts w:ascii="Times New Roman" w:eastAsia="Times New Roman" w:hAnsi="Times New Roman" w:cs="Times New Roman"/>
          <w:i/>
          <w:iCs/>
          <w:kern w:val="0"/>
          <w:sz w:val="24"/>
          <w:szCs w:val="24"/>
          <w14:ligatures w14:val="none"/>
        </w:rPr>
        <w:t xml:space="preserve">Anjali Lata, Corporate Communications Officer, PH:8341373, Email: </w:t>
      </w:r>
      <w:hyperlink r:id="rId10" w:history="1">
        <w:r w:rsidR="00635372" w:rsidRPr="003E517F">
          <w:rPr>
            <w:rStyle w:val="Hyperlink"/>
            <w:rFonts w:ascii="Times New Roman" w:eastAsia="Times New Roman" w:hAnsi="Times New Roman" w:cs="Times New Roman"/>
            <w:i/>
            <w:iCs/>
            <w:kern w:val="0"/>
            <w:sz w:val="24"/>
            <w:szCs w:val="24"/>
            <w14:ligatures w14:val="none"/>
          </w:rPr>
          <w:t>anjali.lata@taf.org.fj</w:t>
        </w:r>
      </w:hyperlink>
      <w:r w:rsidR="00635372" w:rsidRPr="003E517F">
        <w:rPr>
          <w:rFonts w:ascii="Times New Roman" w:eastAsia="Times New Roman" w:hAnsi="Times New Roman" w:cs="Times New Roman"/>
          <w:i/>
          <w:iCs/>
          <w:kern w:val="0"/>
          <w:sz w:val="24"/>
          <w:szCs w:val="24"/>
          <w14:ligatures w14:val="none"/>
        </w:rPr>
        <w:t xml:space="preserve"> </w:t>
      </w:r>
      <w:r w:rsidRPr="003E517F">
        <w:rPr>
          <w:rFonts w:ascii="Times New Roman" w:eastAsia="Times New Roman" w:hAnsi="Times New Roman" w:cs="Times New Roman"/>
          <w:i/>
          <w:iCs/>
          <w:kern w:val="0"/>
          <w:sz w:val="24"/>
          <w:szCs w:val="24"/>
          <w14:ligatures w14:val="none"/>
        </w:rPr>
        <w:t xml:space="preserve"> </w:t>
      </w:r>
    </w:p>
    <w:p w14:paraId="62EAAC76" w14:textId="77777777" w:rsidR="000C29F5" w:rsidRDefault="000C29F5" w:rsidP="00ED221F">
      <w:pPr>
        <w:spacing w:before="100" w:beforeAutospacing="1" w:after="100" w:afterAutospacing="1" w:line="276" w:lineRule="auto"/>
        <w:jc w:val="both"/>
        <w:rPr>
          <w:rFonts w:ascii="Times New Roman" w:eastAsia="Times New Roman" w:hAnsi="Times New Roman" w:cs="Times New Roman"/>
          <w:i/>
          <w:iCs/>
          <w:kern w:val="0"/>
          <w:sz w:val="24"/>
          <w:szCs w:val="24"/>
          <w14:ligatures w14:val="none"/>
        </w:rPr>
      </w:pPr>
      <w:r w:rsidRPr="003E517F">
        <w:rPr>
          <w:rFonts w:ascii="Times New Roman" w:eastAsia="Times New Roman" w:hAnsi="Times New Roman" w:cs="Times New Roman"/>
          <w:i/>
          <w:iCs/>
          <w:kern w:val="0"/>
          <w:sz w:val="24"/>
          <w:szCs w:val="24"/>
          <w14:ligatures w14:val="none"/>
        </w:rPr>
        <w:lastRenderedPageBreak/>
        <w:t xml:space="preserve">For more information, visit </w:t>
      </w:r>
      <w:hyperlink r:id="rId11" w:tgtFrame="_new" w:history="1">
        <w:r w:rsidRPr="003E517F">
          <w:rPr>
            <w:rStyle w:val="Hyperlink"/>
            <w:rFonts w:ascii="Times New Roman" w:eastAsia="Times New Roman" w:hAnsi="Times New Roman" w:cs="Times New Roman"/>
            <w:i/>
            <w:iCs/>
            <w:kern w:val="0"/>
            <w:sz w:val="24"/>
            <w:szCs w:val="24"/>
            <w14:ligatures w14:val="none"/>
          </w:rPr>
          <w:t>www.taf.org.fj</w:t>
        </w:r>
      </w:hyperlink>
      <w:r w:rsidRPr="003E517F">
        <w:rPr>
          <w:rFonts w:ascii="Times New Roman" w:eastAsia="Times New Roman" w:hAnsi="Times New Roman" w:cs="Times New Roman"/>
          <w:i/>
          <w:iCs/>
          <w:kern w:val="0"/>
          <w:sz w:val="24"/>
          <w:szCs w:val="24"/>
          <w14:ligatures w14:val="none"/>
        </w:rPr>
        <w:t xml:space="preserve"> or follow us on Facebook (@TAFiji) and LinkedIn.</w:t>
      </w:r>
    </w:p>
    <w:p w14:paraId="22EC93C0" w14:textId="082544A6" w:rsidR="00C623C7" w:rsidRPr="001F5FF2" w:rsidRDefault="00C623C7" w:rsidP="00ED221F">
      <w:pPr>
        <w:spacing w:before="100" w:beforeAutospacing="1" w:after="100" w:afterAutospacing="1" w:line="276" w:lineRule="auto"/>
        <w:jc w:val="both"/>
        <w:rPr>
          <w:rFonts w:ascii="Times New Roman" w:eastAsia="Times New Roman" w:hAnsi="Times New Roman" w:cs="Times New Roman"/>
          <w:b/>
          <w:bCs/>
          <w:i/>
          <w:iCs/>
          <w:color w:val="000000" w:themeColor="text1"/>
          <w:kern w:val="0"/>
          <w:sz w:val="24"/>
          <w:szCs w:val="24"/>
          <w:lang w:val="en-US"/>
          <w14:ligatures w14:val="none"/>
        </w:rPr>
      </w:pPr>
      <w:r w:rsidRPr="001F5FF2">
        <w:rPr>
          <w:rFonts w:ascii="Times New Roman" w:eastAsia="Times New Roman" w:hAnsi="Times New Roman" w:cs="Times New Roman"/>
          <w:b/>
          <w:bCs/>
          <w:i/>
          <w:iCs/>
          <w:color w:val="000000" w:themeColor="text1"/>
          <w:kern w:val="0"/>
          <w:sz w:val="24"/>
          <w:szCs w:val="24"/>
          <w14:ligatures w14:val="none"/>
        </w:rPr>
        <w:t>About TRBR:</w:t>
      </w:r>
    </w:p>
    <w:p w14:paraId="2F3AF2F2" w14:textId="77777777" w:rsidR="006806B6" w:rsidRPr="001F5FF2" w:rsidRDefault="006806B6" w:rsidP="006806B6">
      <w:pPr>
        <w:spacing w:before="100" w:beforeAutospacing="1" w:after="100" w:afterAutospacing="1" w:line="276" w:lineRule="auto"/>
        <w:jc w:val="both"/>
        <w:rPr>
          <w:rFonts w:ascii="Times New Roman" w:eastAsia="Times New Roman" w:hAnsi="Times New Roman" w:cs="Times New Roman"/>
          <w:i/>
          <w:iCs/>
          <w:color w:val="000000" w:themeColor="text1"/>
          <w:kern w:val="0"/>
          <w:sz w:val="24"/>
          <w:szCs w:val="24"/>
          <w14:ligatures w14:val="none"/>
        </w:rPr>
      </w:pPr>
      <w:r w:rsidRPr="001F5FF2">
        <w:rPr>
          <w:rFonts w:ascii="Times New Roman" w:eastAsia="Times New Roman" w:hAnsi="Times New Roman" w:cs="Times New Roman"/>
          <w:i/>
          <w:iCs/>
          <w:color w:val="000000" w:themeColor="text1"/>
          <w:kern w:val="0"/>
          <w:sz w:val="24"/>
          <w:szCs w:val="24"/>
          <w14:ligatures w14:val="none"/>
        </w:rPr>
        <w:t>PRESS RELEASE</w:t>
      </w:r>
    </w:p>
    <w:p w14:paraId="0386F866" w14:textId="77777777" w:rsidR="006806B6" w:rsidRPr="001F5FF2" w:rsidRDefault="006806B6" w:rsidP="006806B6">
      <w:pPr>
        <w:spacing w:before="100" w:beforeAutospacing="1" w:after="100" w:afterAutospacing="1" w:line="276" w:lineRule="auto"/>
        <w:jc w:val="both"/>
        <w:rPr>
          <w:rFonts w:ascii="Times New Roman" w:eastAsia="Times New Roman" w:hAnsi="Times New Roman" w:cs="Times New Roman"/>
          <w:i/>
          <w:iCs/>
          <w:color w:val="000000" w:themeColor="text1"/>
          <w:kern w:val="0"/>
          <w:sz w:val="24"/>
          <w:szCs w:val="24"/>
          <w14:ligatures w14:val="none"/>
        </w:rPr>
      </w:pPr>
      <w:r w:rsidRPr="001F5FF2">
        <w:rPr>
          <w:rFonts w:ascii="Times New Roman" w:eastAsia="Times New Roman" w:hAnsi="Times New Roman" w:cs="Times New Roman"/>
          <w:i/>
          <w:iCs/>
          <w:color w:val="000000" w:themeColor="text1"/>
          <w:kern w:val="0"/>
          <w:sz w:val="24"/>
          <w:szCs w:val="24"/>
          <w14:ligatures w14:val="none"/>
        </w:rPr>
        <w:t>TRBR: Strengthening Vanuatu’s Digital and Communications Future</w:t>
      </w:r>
    </w:p>
    <w:p w14:paraId="0B2F54D4" w14:textId="77777777" w:rsidR="006806B6" w:rsidRPr="001F5FF2" w:rsidRDefault="006806B6" w:rsidP="006806B6">
      <w:pPr>
        <w:spacing w:before="100" w:beforeAutospacing="1" w:after="100" w:afterAutospacing="1" w:line="276" w:lineRule="auto"/>
        <w:jc w:val="both"/>
        <w:rPr>
          <w:rFonts w:ascii="Times New Roman" w:eastAsia="Times New Roman" w:hAnsi="Times New Roman" w:cs="Times New Roman"/>
          <w:i/>
          <w:iCs/>
          <w:color w:val="000000" w:themeColor="text1"/>
          <w:kern w:val="0"/>
          <w:sz w:val="24"/>
          <w:szCs w:val="24"/>
          <w14:ligatures w14:val="none"/>
        </w:rPr>
      </w:pPr>
      <w:r w:rsidRPr="001F5FF2">
        <w:rPr>
          <w:rFonts w:ascii="Times New Roman" w:eastAsia="Times New Roman" w:hAnsi="Times New Roman" w:cs="Times New Roman"/>
          <w:i/>
          <w:iCs/>
          <w:color w:val="000000" w:themeColor="text1"/>
          <w:kern w:val="0"/>
          <w:sz w:val="24"/>
          <w:szCs w:val="24"/>
          <w14:ligatures w14:val="none"/>
        </w:rPr>
        <w:t>The Telecommunications, Radiocommunications and Broadcasting Regulator (TRBR) is Vanuatu’s independent regulator responsible for overseeing the telecommunications, radiocommunications and broadcasting sectors.</w:t>
      </w:r>
    </w:p>
    <w:p w14:paraId="31D5F0CE" w14:textId="77777777" w:rsidR="006806B6" w:rsidRPr="001F5FF2" w:rsidRDefault="006806B6" w:rsidP="006806B6">
      <w:pPr>
        <w:spacing w:before="100" w:beforeAutospacing="1" w:after="100" w:afterAutospacing="1" w:line="276" w:lineRule="auto"/>
        <w:jc w:val="both"/>
        <w:rPr>
          <w:rFonts w:ascii="Times New Roman" w:eastAsia="Times New Roman" w:hAnsi="Times New Roman" w:cs="Times New Roman"/>
          <w:i/>
          <w:iCs/>
          <w:color w:val="000000" w:themeColor="text1"/>
          <w:kern w:val="0"/>
          <w:sz w:val="24"/>
          <w:szCs w:val="24"/>
          <w14:ligatures w14:val="none"/>
        </w:rPr>
      </w:pPr>
      <w:r w:rsidRPr="001F5FF2">
        <w:rPr>
          <w:rFonts w:ascii="Times New Roman" w:eastAsia="Times New Roman" w:hAnsi="Times New Roman" w:cs="Times New Roman"/>
          <w:i/>
          <w:iCs/>
          <w:color w:val="000000" w:themeColor="text1"/>
          <w:kern w:val="0"/>
          <w:sz w:val="24"/>
          <w:szCs w:val="24"/>
          <w14:ligatures w14:val="none"/>
        </w:rPr>
        <w:t>TRBR’s role is to promote fair competition, consumer protection, reliable and affordable services, innovation and sustainable sector development. This includes regulating service providers, managing radio-frequency spectrum, overseeing licensing requirements and addressing consumer interests.</w:t>
      </w:r>
    </w:p>
    <w:p w14:paraId="7783D39E" w14:textId="77777777" w:rsidR="006806B6" w:rsidRPr="001F5FF2" w:rsidRDefault="006806B6" w:rsidP="006806B6">
      <w:pPr>
        <w:spacing w:before="100" w:beforeAutospacing="1" w:after="100" w:afterAutospacing="1" w:line="276" w:lineRule="auto"/>
        <w:jc w:val="both"/>
        <w:rPr>
          <w:rFonts w:ascii="Times New Roman" w:eastAsia="Times New Roman" w:hAnsi="Times New Roman" w:cs="Times New Roman"/>
          <w:i/>
          <w:iCs/>
          <w:color w:val="000000" w:themeColor="text1"/>
          <w:kern w:val="0"/>
          <w:sz w:val="24"/>
          <w:szCs w:val="24"/>
          <w14:ligatures w14:val="none"/>
        </w:rPr>
      </w:pPr>
      <w:r w:rsidRPr="001F5FF2">
        <w:rPr>
          <w:rFonts w:ascii="Times New Roman" w:eastAsia="Times New Roman" w:hAnsi="Times New Roman" w:cs="Times New Roman"/>
          <w:i/>
          <w:iCs/>
          <w:color w:val="000000" w:themeColor="text1"/>
          <w:kern w:val="0"/>
          <w:sz w:val="24"/>
          <w:szCs w:val="24"/>
          <w14:ligatures w14:val="none"/>
        </w:rPr>
        <w:t>TRBR works closely with Government, industry and consumers to maintain a transparent and effective regulatory environment that supports investment, innovation and improved access to communications services.</w:t>
      </w:r>
    </w:p>
    <w:p w14:paraId="175A4ADD" w14:textId="77777777" w:rsidR="006806B6" w:rsidRPr="001F5FF2" w:rsidRDefault="006806B6" w:rsidP="006806B6">
      <w:pPr>
        <w:spacing w:before="100" w:beforeAutospacing="1" w:after="100" w:afterAutospacing="1" w:line="276" w:lineRule="auto"/>
        <w:jc w:val="both"/>
        <w:rPr>
          <w:rFonts w:ascii="Times New Roman" w:eastAsia="Times New Roman" w:hAnsi="Times New Roman" w:cs="Times New Roman"/>
          <w:i/>
          <w:iCs/>
          <w:color w:val="000000" w:themeColor="text1"/>
          <w:kern w:val="0"/>
          <w:sz w:val="24"/>
          <w:szCs w:val="24"/>
          <w14:ligatures w14:val="none"/>
        </w:rPr>
      </w:pPr>
      <w:r w:rsidRPr="001F5FF2">
        <w:rPr>
          <w:rFonts w:ascii="Times New Roman" w:eastAsia="Times New Roman" w:hAnsi="Times New Roman" w:cs="Times New Roman"/>
          <w:i/>
          <w:iCs/>
          <w:color w:val="000000" w:themeColor="text1"/>
          <w:kern w:val="0"/>
          <w:sz w:val="24"/>
          <w:szCs w:val="24"/>
          <w14:ligatures w14:val="none"/>
        </w:rPr>
        <w:t>As Vanuatu’s digital economy continues to grow, TRBR remains committed to independent, transparent and responsible regulation that supports connectivity, economic development and the long-term interests of the people of Vanuatu.</w:t>
      </w:r>
    </w:p>
    <w:p w14:paraId="669AFD57" w14:textId="77777777" w:rsidR="006806B6" w:rsidRPr="001F5FF2" w:rsidRDefault="006806B6" w:rsidP="00ED221F">
      <w:pPr>
        <w:spacing w:before="100" w:beforeAutospacing="1" w:after="100" w:afterAutospacing="1" w:line="276" w:lineRule="auto"/>
        <w:jc w:val="both"/>
        <w:rPr>
          <w:rFonts w:ascii="Times New Roman" w:eastAsia="Times New Roman" w:hAnsi="Times New Roman" w:cs="Times New Roman"/>
          <w:i/>
          <w:iCs/>
          <w:color w:val="000000" w:themeColor="text1"/>
          <w:kern w:val="0"/>
          <w:sz w:val="24"/>
          <w:szCs w:val="24"/>
          <w:lang w:val="en-US"/>
          <w14:ligatures w14:val="none"/>
        </w:rPr>
      </w:pPr>
    </w:p>
    <w:sectPr w:rsidR="006806B6" w:rsidRPr="001F5FF2" w:rsidSect="00006176">
      <w:headerReference w:type="default" r:id="rId12"/>
      <w:footerReference w:type="default" r:id="rId13"/>
      <w:pgSz w:w="11906" w:h="16838"/>
      <w:pgMar w:top="1440" w:right="1440" w:bottom="1440" w:left="1440" w:header="226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BB7245" w14:textId="77777777" w:rsidR="00936591" w:rsidRDefault="00936591" w:rsidP="00006176">
      <w:pPr>
        <w:spacing w:after="0" w:line="240" w:lineRule="auto"/>
      </w:pPr>
      <w:r>
        <w:separator/>
      </w:r>
    </w:p>
  </w:endnote>
  <w:endnote w:type="continuationSeparator" w:id="0">
    <w:p w14:paraId="76A00FA8" w14:textId="77777777" w:rsidR="00936591" w:rsidRDefault="00936591" w:rsidP="000061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9CC03" w14:textId="77777777" w:rsidR="007647AD" w:rsidRDefault="007647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773699" w14:textId="77777777" w:rsidR="00936591" w:rsidRDefault="00936591" w:rsidP="00006176">
      <w:pPr>
        <w:spacing w:after="0" w:line="240" w:lineRule="auto"/>
      </w:pPr>
      <w:r>
        <w:separator/>
      </w:r>
    </w:p>
  </w:footnote>
  <w:footnote w:type="continuationSeparator" w:id="0">
    <w:p w14:paraId="68C18A88" w14:textId="77777777" w:rsidR="00936591" w:rsidRDefault="00936591" w:rsidP="000061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C5517" w14:textId="77777777" w:rsidR="00006176" w:rsidRDefault="00006176">
    <w:pPr>
      <w:pStyle w:val="Header"/>
    </w:pPr>
    <w:r>
      <w:rPr>
        <w:noProof/>
      </w:rPr>
      <w:drawing>
        <wp:anchor distT="0" distB="0" distL="114300" distR="114300" simplePos="0" relativeHeight="251658240" behindDoc="0" locked="0" layoutInCell="1" allowOverlap="1" wp14:anchorId="219148C2" wp14:editId="526C569F">
          <wp:simplePos x="0" y="0"/>
          <wp:positionH relativeFrom="page">
            <wp:posOffset>8467</wp:posOffset>
          </wp:positionH>
          <wp:positionV relativeFrom="paragraph">
            <wp:posOffset>-1423247</wp:posOffset>
          </wp:positionV>
          <wp:extent cx="7551067" cy="1372009"/>
          <wp:effectExtent l="0" t="0" r="0" b="0"/>
          <wp:wrapNone/>
          <wp:docPr id="12842896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4289674" name="Picture 1284289674"/>
                  <pic:cNvPicPr/>
                </pic:nvPicPr>
                <pic:blipFill>
                  <a:blip r:embed="rId1">
                    <a:extLst>
                      <a:ext uri="{28A0092B-C50C-407E-A947-70E740481C1C}">
                        <a14:useLocalDpi xmlns:a14="http://schemas.microsoft.com/office/drawing/2010/main" val="0"/>
                      </a:ext>
                    </a:extLst>
                  </a:blip>
                  <a:stretch>
                    <a:fillRect/>
                  </a:stretch>
                </pic:blipFill>
                <pic:spPr>
                  <a:xfrm>
                    <a:off x="0" y="0"/>
                    <a:ext cx="7578434" cy="1376981"/>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EE967F86"/>
    <w:lvl w:ilvl="0">
      <w:start w:val="1"/>
      <w:numFmt w:val="decimal"/>
      <w:pStyle w:val="ListNumber"/>
      <w:lvlText w:val="%1."/>
      <w:lvlJc w:val="left"/>
      <w:pPr>
        <w:tabs>
          <w:tab w:val="num" w:pos="360"/>
        </w:tabs>
        <w:ind w:left="360" w:hanging="360"/>
      </w:pPr>
    </w:lvl>
  </w:abstractNum>
  <w:abstractNum w:abstractNumId="1" w15:restartNumberingAfterBreak="0">
    <w:nsid w:val="068120BC"/>
    <w:multiLevelType w:val="multilevel"/>
    <w:tmpl w:val="F8EE6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E653FC"/>
    <w:multiLevelType w:val="multilevel"/>
    <w:tmpl w:val="7D90A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EE650B"/>
    <w:multiLevelType w:val="multilevel"/>
    <w:tmpl w:val="52285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A2F5AD4"/>
    <w:multiLevelType w:val="multilevel"/>
    <w:tmpl w:val="7334F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E67063D"/>
    <w:multiLevelType w:val="multilevel"/>
    <w:tmpl w:val="0C00C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9531E15"/>
    <w:multiLevelType w:val="multilevel"/>
    <w:tmpl w:val="97F87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26141FD"/>
    <w:multiLevelType w:val="multilevel"/>
    <w:tmpl w:val="B7583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78667906">
    <w:abstractNumId w:val="4"/>
  </w:num>
  <w:num w:numId="2" w16cid:durableId="1155684044">
    <w:abstractNumId w:val="2"/>
  </w:num>
  <w:num w:numId="3" w16cid:durableId="271404546">
    <w:abstractNumId w:val="3"/>
  </w:num>
  <w:num w:numId="4" w16cid:durableId="1712878779">
    <w:abstractNumId w:val="6"/>
  </w:num>
  <w:num w:numId="5" w16cid:durableId="1494831530">
    <w:abstractNumId w:val="5"/>
  </w:num>
  <w:num w:numId="6" w16cid:durableId="593705358">
    <w:abstractNumId w:val="7"/>
  </w:num>
  <w:num w:numId="7" w16cid:durableId="161513062">
    <w:abstractNumId w:val="0"/>
  </w:num>
  <w:num w:numId="8" w16cid:durableId="5457978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6176"/>
    <w:rsid w:val="00006176"/>
    <w:rsid w:val="00010857"/>
    <w:rsid w:val="00043CA7"/>
    <w:rsid w:val="00090776"/>
    <w:rsid w:val="000A1D79"/>
    <w:rsid w:val="000B3BF3"/>
    <w:rsid w:val="000C29F5"/>
    <w:rsid w:val="001021FD"/>
    <w:rsid w:val="00102A40"/>
    <w:rsid w:val="00103F10"/>
    <w:rsid w:val="00116E95"/>
    <w:rsid w:val="001243D6"/>
    <w:rsid w:val="00166439"/>
    <w:rsid w:val="001718E9"/>
    <w:rsid w:val="00173F16"/>
    <w:rsid w:val="00182E94"/>
    <w:rsid w:val="00192554"/>
    <w:rsid w:val="001F5FF2"/>
    <w:rsid w:val="002015C3"/>
    <w:rsid w:val="00240341"/>
    <w:rsid w:val="00284416"/>
    <w:rsid w:val="00293B85"/>
    <w:rsid w:val="002E32D8"/>
    <w:rsid w:val="002E73A6"/>
    <w:rsid w:val="0031145A"/>
    <w:rsid w:val="00332A4F"/>
    <w:rsid w:val="00353A20"/>
    <w:rsid w:val="00363799"/>
    <w:rsid w:val="00390824"/>
    <w:rsid w:val="0039414F"/>
    <w:rsid w:val="003B3AB9"/>
    <w:rsid w:val="003E517F"/>
    <w:rsid w:val="00404755"/>
    <w:rsid w:val="004067B9"/>
    <w:rsid w:val="00462D22"/>
    <w:rsid w:val="004D7E5B"/>
    <w:rsid w:val="004E79FD"/>
    <w:rsid w:val="00511380"/>
    <w:rsid w:val="005415DA"/>
    <w:rsid w:val="0055263A"/>
    <w:rsid w:val="0058344F"/>
    <w:rsid w:val="00584F0F"/>
    <w:rsid w:val="0058791D"/>
    <w:rsid w:val="005A2C36"/>
    <w:rsid w:val="005A3A78"/>
    <w:rsid w:val="005B2611"/>
    <w:rsid w:val="005C086F"/>
    <w:rsid w:val="0062615C"/>
    <w:rsid w:val="00635372"/>
    <w:rsid w:val="00662AB7"/>
    <w:rsid w:val="006806B6"/>
    <w:rsid w:val="006913B6"/>
    <w:rsid w:val="006C27EE"/>
    <w:rsid w:val="006E135A"/>
    <w:rsid w:val="006E6023"/>
    <w:rsid w:val="006F014C"/>
    <w:rsid w:val="007175AC"/>
    <w:rsid w:val="00737FFD"/>
    <w:rsid w:val="007515AB"/>
    <w:rsid w:val="007647AD"/>
    <w:rsid w:val="007A1AE3"/>
    <w:rsid w:val="007C4CB5"/>
    <w:rsid w:val="007D6329"/>
    <w:rsid w:val="007E1498"/>
    <w:rsid w:val="00820227"/>
    <w:rsid w:val="008446A3"/>
    <w:rsid w:val="00852535"/>
    <w:rsid w:val="008525D8"/>
    <w:rsid w:val="00861FB0"/>
    <w:rsid w:val="00903156"/>
    <w:rsid w:val="00936591"/>
    <w:rsid w:val="00975F4A"/>
    <w:rsid w:val="009A1741"/>
    <w:rsid w:val="009B4E8F"/>
    <w:rsid w:val="009E3AF7"/>
    <w:rsid w:val="00A06142"/>
    <w:rsid w:val="00A3191C"/>
    <w:rsid w:val="00A76CE6"/>
    <w:rsid w:val="00AA133E"/>
    <w:rsid w:val="00AA58FE"/>
    <w:rsid w:val="00AE030E"/>
    <w:rsid w:val="00AF0414"/>
    <w:rsid w:val="00AF2025"/>
    <w:rsid w:val="00B23E42"/>
    <w:rsid w:val="00B73D4C"/>
    <w:rsid w:val="00BB580D"/>
    <w:rsid w:val="00BD7927"/>
    <w:rsid w:val="00C05CBE"/>
    <w:rsid w:val="00C5181F"/>
    <w:rsid w:val="00C623C7"/>
    <w:rsid w:val="00C777E3"/>
    <w:rsid w:val="00C9357E"/>
    <w:rsid w:val="00CA338C"/>
    <w:rsid w:val="00CC7978"/>
    <w:rsid w:val="00CE22DF"/>
    <w:rsid w:val="00CF41B1"/>
    <w:rsid w:val="00D2384C"/>
    <w:rsid w:val="00D60A66"/>
    <w:rsid w:val="00D64E6C"/>
    <w:rsid w:val="00D67C3C"/>
    <w:rsid w:val="00D823FB"/>
    <w:rsid w:val="00DA6C68"/>
    <w:rsid w:val="00DB110C"/>
    <w:rsid w:val="00DB536F"/>
    <w:rsid w:val="00DC4AAE"/>
    <w:rsid w:val="00DE2157"/>
    <w:rsid w:val="00E0610C"/>
    <w:rsid w:val="00E06537"/>
    <w:rsid w:val="00E072C0"/>
    <w:rsid w:val="00E57750"/>
    <w:rsid w:val="00E702E4"/>
    <w:rsid w:val="00ED221F"/>
    <w:rsid w:val="00ED5A1A"/>
    <w:rsid w:val="00EE26BB"/>
    <w:rsid w:val="00F242FA"/>
    <w:rsid w:val="00F47F73"/>
    <w:rsid w:val="00F67D5D"/>
    <w:rsid w:val="00F91E7A"/>
    <w:rsid w:val="00FA503D"/>
    <w:rsid w:val="00FC0AE0"/>
    <w:rsid w:val="00FE209F"/>
  </w:rsids>
  <m:mathPr>
    <m:mathFont m:val="Cambria Math"/>
    <m:brkBin m:val="before"/>
    <m:brkBinSub m:val="--"/>
    <m:smallFrac m:val="0"/>
    <m:dispDef/>
    <m:lMargin m:val="0"/>
    <m:rMargin m:val="0"/>
    <m:defJc m:val="centerGroup"/>
    <m:wrapIndent m:val="1440"/>
    <m:intLim m:val="subSup"/>
    <m:naryLim m:val="undOvr"/>
  </m:mathPr>
  <w:themeFontLang w:val="en-FJ"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881B3D"/>
  <w15:chartTrackingRefBased/>
  <w15:docId w15:val="{6B08353E-522E-4214-9427-975F4EA463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FJ"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0617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0617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0617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0617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0617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0617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0617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0617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0617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617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0617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0617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0617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0617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0617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0617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0617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06176"/>
    <w:rPr>
      <w:rFonts w:eastAsiaTheme="majorEastAsia" w:cstheme="majorBidi"/>
      <w:color w:val="272727" w:themeColor="text1" w:themeTint="D8"/>
    </w:rPr>
  </w:style>
  <w:style w:type="paragraph" w:styleId="Title">
    <w:name w:val="Title"/>
    <w:basedOn w:val="Normal"/>
    <w:next w:val="Normal"/>
    <w:link w:val="TitleChar"/>
    <w:uiPriority w:val="10"/>
    <w:qFormat/>
    <w:rsid w:val="000061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0617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0617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0617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06176"/>
    <w:pPr>
      <w:spacing w:before="160"/>
      <w:jc w:val="center"/>
    </w:pPr>
    <w:rPr>
      <w:i/>
      <w:iCs/>
      <w:color w:val="404040" w:themeColor="text1" w:themeTint="BF"/>
    </w:rPr>
  </w:style>
  <w:style w:type="character" w:customStyle="1" w:styleId="QuoteChar">
    <w:name w:val="Quote Char"/>
    <w:basedOn w:val="DefaultParagraphFont"/>
    <w:link w:val="Quote"/>
    <w:uiPriority w:val="29"/>
    <w:rsid w:val="00006176"/>
    <w:rPr>
      <w:i/>
      <w:iCs/>
      <w:color w:val="404040" w:themeColor="text1" w:themeTint="BF"/>
    </w:rPr>
  </w:style>
  <w:style w:type="paragraph" w:styleId="ListParagraph">
    <w:name w:val="List Paragraph"/>
    <w:basedOn w:val="Normal"/>
    <w:uiPriority w:val="34"/>
    <w:qFormat/>
    <w:rsid w:val="00006176"/>
    <w:pPr>
      <w:ind w:left="720"/>
      <w:contextualSpacing/>
    </w:pPr>
  </w:style>
  <w:style w:type="character" w:styleId="IntenseEmphasis">
    <w:name w:val="Intense Emphasis"/>
    <w:basedOn w:val="DefaultParagraphFont"/>
    <w:uiPriority w:val="21"/>
    <w:qFormat/>
    <w:rsid w:val="00006176"/>
    <w:rPr>
      <w:i/>
      <w:iCs/>
      <w:color w:val="0F4761" w:themeColor="accent1" w:themeShade="BF"/>
    </w:rPr>
  </w:style>
  <w:style w:type="paragraph" w:styleId="IntenseQuote">
    <w:name w:val="Intense Quote"/>
    <w:basedOn w:val="Normal"/>
    <w:next w:val="Normal"/>
    <w:link w:val="IntenseQuoteChar"/>
    <w:uiPriority w:val="30"/>
    <w:qFormat/>
    <w:rsid w:val="0000617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06176"/>
    <w:rPr>
      <w:i/>
      <w:iCs/>
      <w:color w:val="0F4761" w:themeColor="accent1" w:themeShade="BF"/>
    </w:rPr>
  </w:style>
  <w:style w:type="character" w:styleId="IntenseReference">
    <w:name w:val="Intense Reference"/>
    <w:basedOn w:val="DefaultParagraphFont"/>
    <w:uiPriority w:val="32"/>
    <w:qFormat/>
    <w:rsid w:val="00006176"/>
    <w:rPr>
      <w:b/>
      <w:bCs/>
      <w:smallCaps/>
      <w:color w:val="0F4761" w:themeColor="accent1" w:themeShade="BF"/>
      <w:spacing w:val="5"/>
    </w:rPr>
  </w:style>
  <w:style w:type="paragraph" w:styleId="Header">
    <w:name w:val="header"/>
    <w:basedOn w:val="Normal"/>
    <w:link w:val="HeaderChar"/>
    <w:uiPriority w:val="99"/>
    <w:unhideWhenUsed/>
    <w:rsid w:val="000061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006176"/>
  </w:style>
  <w:style w:type="paragraph" w:styleId="Footer">
    <w:name w:val="footer"/>
    <w:basedOn w:val="Normal"/>
    <w:link w:val="FooterChar"/>
    <w:uiPriority w:val="99"/>
    <w:unhideWhenUsed/>
    <w:rsid w:val="000061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006176"/>
  </w:style>
  <w:style w:type="character" w:styleId="Hyperlink">
    <w:name w:val="Hyperlink"/>
    <w:basedOn w:val="DefaultParagraphFont"/>
    <w:uiPriority w:val="99"/>
    <w:unhideWhenUsed/>
    <w:rsid w:val="00006176"/>
    <w:rPr>
      <w:color w:val="467886" w:themeColor="hyperlink"/>
      <w:u w:val="single"/>
    </w:rPr>
  </w:style>
  <w:style w:type="character" w:styleId="UnresolvedMention">
    <w:name w:val="Unresolved Mention"/>
    <w:basedOn w:val="DefaultParagraphFont"/>
    <w:uiPriority w:val="99"/>
    <w:semiHidden/>
    <w:unhideWhenUsed/>
    <w:rsid w:val="00006176"/>
    <w:rPr>
      <w:color w:val="605E5C"/>
      <w:shd w:val="clear" w:color="auto" w:fill="E1DFDD"/>
    </w:rPr>
  </w:style>
  <w:style w:type="character" w:styleId="CommentReference">
    <w:name w:val="annotation reference"/>
    <w:basedOn w:val="DefaultParagraphFont"/>
    <w:uiPriority w:val="99"/>
    <w:semiHidden/>
    <w:unhideWhenUsed/>
    <w:rsid w:val="00C05CBE"/>
    <w:rPr>
      <w:sz w:val="16"/>
      <w:szCs w:val="16"/>
    </w:rPr>
  </w:style>
  <w:style w:type="paragraph" w:styleId="CommentText">
    <w:name w:val="annotation text"/>
    <w:basedOn w:val="Normal"/>
    <w:link w:val="CommentTextChar"/>
    <w:uiPriority w:val="99"/>
    <w:unhideWhenUsed/>
    <w:rsid w:val="00C05CBE"/>
    <w:pPr>
      <w:spacing w:line="240" w:lineRule="auto"/>
    </w:pPr>
    <w:rPr>
      <w:sz w:val="20"/>
      <w:szCs w:val="20"/>
    </w:rPr>
  </w:style>
  <w:style w:type="character" w:customStyle="1" w:styleId="CommentTextChar">
    <w:name w:val="Comment Text Char"/>
    <w:basedOn w:val="DefaultParagraphFont"/>
    <w:link w:val="CommentText"/>
    <w:uiPriority w:val="99"/>
    <w:rsid w:val="00C05CBE"/>
    <w:rPr>
      <w:sz w:val="20"/>
      <w:szCs w:val="20"/>
    </w:rPr>
  </w:style>
  <w:style w:type="paragraph" w:styleId="CommentSubject">
    <w:name w:val="annotation subject"/>
    <w:basedOn w:val="CommentText"/>
    <w:next w:val="CommentText"/>
    <w:link w:val="CommentSubjectChar"/>
    <w:uiPriority w:val="99"/>
    <w:semiHidden/>
    <w:unhideWhenUsed/>
    <w:rsid w:val="00C05CBE"/>
    <w:rPr>
      <w:b/>
      <w:bCs/>
    </w:rPr>
  </w:style>
  <w:style w:type="character" w:customStyle="1" w:styleId="CommentSubjectChar">
    <w:name w:val="Comment Subject Char"/>
    <w:basedOn w:val="CommentTextChar"/>
    <w:link w:val="CommentSubject"/>
    <w:uiPriority w:val="99"/>
    <w:semiHidden/>
    <w:rsid w:val="00C05CBE"/>
    <w:rPr>
      <w:b/>
      <w:bCs/>
      <w:sz w:val="20"/>
      <w:szCs w:val="20"/>
    </w:rPr>
  </w:style>
  <w:style w:type="paragraph" w:styleId="ListNumber">
    <w:name w:val="List Number"/>
    <w:basedOn w:val="Normal"/>
    <w:uiPriority w:val="99"/>
    <w:unhideWhenUsed/>
    <w:rsid w:val="00192554"/>
    <w:pPr>
      <w:numPr>
        <w:numId w:val="7"/>
      </w:numPr>
      <w:tabs>
        <w:tab w:val="clear" w:pos="360"/>
      </w:tabs>
      <w:spacing w:after="140"/>
      <w:ind w:left="0" w:firstLine="0"/>
      <w:contextualSpacing/>
    </w:pPr>
    <w:rPr>
      <w:rFonts w:ascii="Arial" w:eastAsiaTheme="minorEastAsia" w:hAnsi="Arial"/>
      <w:kern w:val="0"/>
      <w:lang w:val="en-US"/>
      <w14:ligatures w14:val="none"/>
    </w:rPr>
  </w:style>
  <w:style w:type="paragraph" w:styleId="Revision">
    <w:name w:val="Revision"/>
    <w:hidden/>
    <w:uiPriority w:val="99"/>
    <w:semiHidden/>
    <w:rsid w:val="005415D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380644">
      <w:bodyDiv w:val="1"/>
      <w:marLeft w:val="0"/>
      <w:marRight w:val="0"/>
      <w:marTop w:val="0"/>
      <w:marBottom w:val="0"/>
      <w:divBdr>
        <w:top w:val="none" w:sz="0" w:space="0" w:color="auto"/>
        <w:left w:val="none" w:sz="0" w:space="0" w:color="auto"/>
        <w:bottom w:val="none" w:sz="0" w:space="0" w:color="auto"/>
        <w:right w:val="none" w:sz="0" w:space="0" w:color="auto"/>
      </w:divBdr>
      <w:divsChild>
        <w:div w:id="1028944187">
          <w:blockQuote w:val="1"/>
          <w:marLeft w:val="720"/>
          <w:marRight w:val="720"/>
          <w:marTop w:val="100"/>
          <w:marBottom w:val="100"/>
          <w:divBdr>
            <w:top w:val="none" w:sz="0" w:space="0" w:color="auto"/>
            <w:left w:val="none" w:sz="0" w:space="0" w:color="auto"/>
            <w:bottom w:val="none" w:sz="0" w:space="0" w:color="auto"/>
            <w:right w:val="none" w:sz="0" w:space="0" w:color="auto"/>
          </w:divBdr>
        </w:div>
        <w:div w:id="6710324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40555845">
      <w:bodyDiv w:val="1"/>
      <w:marLeft w:val="0"/>
      <w:marRight w:val="0"/>
      <w:marTop w:val="0"/>
      <w:marBottom w:val="0"/>
      <w:divBdr>
        <w:top w:val="none" w:sz="0" w:space="0" w:color="auto"/>
        <w:left w:val="none" w:sz="0" w:space="0" w:color="auto"/>
        <w:bottom w:val="none" w:sz="0" w:space="0" w:color="auto"/>
        <w:right w:val="none" w:sz="0" w:space="0" w:color="auto"/>
      </w:divBdr>
    </w:div>
    <w:div w:id="1075131924">
      <w:bodyDiv w:val="1"/>
      <w:marLeft w:val="0"/>
      <w:marRight w:val="0"/>
      <w:marTop w:val="0"/>
      <w:marBottom w:val="0"/>
      <w:divBdr>
        <w:top w:val="none" w:sz="0" w:space="0" w:color="auto"/>
        <w:left w:val="none" w:sz="0" w:space="0" w:color="auto"/>
        <w:bottom w:val="none" w:sz="0" w:space="0" w:color="auto"/>
        <w:right w:val="none" w:sz="0" w:space="0" w:color="auto"/>
      </w:divBdr>
    </w:div>
    <w:div w:id="1194076283">
      <w:bodyDiv w:val="1"/>
      <w:marLeft w:val="0"/>
      <w:marRight w:val="0"/>
      <w:marTop w:val="0"/>
      <w:marBottom w:val="0"/>
      <w:divBdr>
        <w:top w:val="none" w:sz="0" w:space="0" w:color="auto"/>
        <w:left w:val="none" w:sz="0" w:space="0" w:color="auto"/>
        <w:bottom w:val="none" w:sz="0" w:space="0" w:color="auto"/>
        <w:right w:val="none" w:sz="0" w:space="0" w:color="auto"/>
      </w:divBdr>
      <w:divsChild>
        <w:div w:id="721290071">
          <w:blockQuote w:val="1"/>
          <w:marLeft w:val="720"/>
          <w:marRight w:val="720"/>
          <w:marTop w:val="100"/>
          <w:marBottom w:val="100"/>
          <w:divBdr>
            <w:top w:val="none" w:sz="0" w:space="0" w:color="auto"/>
            <w:left w:val="none" w:sz="0" w:space="0" w:color="auto"/>
            <w:bottom w:val="none" w:sz="0" w:space="0" w:color="auto"/>
            <w:right w:val="none" w:sz="0" w:space="0" w:color="auto"/>
          </w:divBdr>
        </w:div>
        <w:div w:id="15991020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taf.org.fj"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anjali.lata@taf.org.fj"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6FDE2D53449D84FADB6D3B73E2F23D9" ma:contentTypeVersion="8" ma:contentTypeDescription="Create a new document." ma:contentTypeScope="" ma:versionID="fc3a6373378264197cc549216bd09797">
  <xsd:schema xmlns:xsd="http://www.w3.org/2001/XMLSchema" xmlns:xs="http://www.w3.org/2001/XMLSchema" xmlns:p="http://schemas.microsoft.com/office/2006/metadata/properties" xmlns:ns3="77ee59a9-7e93-46c4-9fdc-92a7a6235dbd" targetNamespace="http://schemas.microsoft.com/office/2006/metadata/properties" ma:root="true" ma:fieldsID="0e8b97212198b3b4571be4bc9639db4d" ns3:_="">
    <xsd:import namespace="77ee59a9-7e93-46c4-9fdc-92a7a6235dbd"/>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ee59a9-7e93-46c4-9fdc-92a7a6235dbd"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E369634-11F4-43F1-BA81-2D93FD0505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ee59a9-7e93-46c4-9fdc-92a7a6235d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788A8F1-1210-46AF-8854-78D93D525997}">
  <ds:schemaRefs>
    <ds:schemaRef ds:uri="http://schemas.microsoft.com/sharepoint/v3/contenttype/forms"/>
  </ds:schemaRefs>
</ds:datastoreItem>
</file>

<file path=customXml/itemProps3.xml><?xml version="1.0" encoding="utf-8"?>
<ds:datastoreItem xmlns:ds="http://schemas.openxmlformats.org/officeDocument/2006/customXml" ds:itemID="{7C5923F9-A58A-4897-920C-37D370220F4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939</Words>
  <Characters>5358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TAF and TRBR MOU Signing Press Release - Final</vt:lpstr>
    </vt:vector>
  </TitlesOfParts>
  <Company/>
  <LinksUpToDate>false</LinksUpToDate>
  <CharactersWithSpaces>6285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TAF and TRBR MOU Signing Press Release - Final</dc:title>
  <dc:subject/>
  <dc:creator>Anjali  Lata</dc:creator>
  <cp:keywords/>
  <dc:description/>
  <cp:lastModifiedBy>Anjali  Lata</cp:lastModifiedBy>
  <cp:revision>2</cp:revision>
  <cp:lastPrinted>2025-12-18T01:26:00Z</cp:lastPrinted>
  <dcterms:created xsi:type="dcterms:W3CDTF">2026-08-27T23:53:00Z</dcterms:created>
  <dcterms:modified xsi:type="dcterms:W3CDTF">2026-08-27T23:53:00Z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0x01010026FDE2D53449D84FADB6D3B73E2F23D9</vt:lpwstr>
  </property>
</Properties>
</file>